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 судьи суда кассационной инстанции о передаче кассационных жалобы, представления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сведения, указанные в части 2 статьи 127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фамилию, имя и отчество (при наличии)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изложение содержания административного дела, по которому приняты судебные акты;</w:t>
      </w:r>
    </w:p>
    <w:p>
      <w:pPr>
        <w:spacing w:after="120"/>
        <w:ind w:firstLine="709"/>
      </w:pPr>
      <w:r>
        <w:rPr>
          <w:sz w:val="24"/>
        </w:rPr>
        <w:t xml:space="preserve">7) мотивированное изложение оснований для передачи кассационных жалобы, представления для рассмотрения в судебном заседании суда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8) предложения судьи, вынесшего определение.</w:t>
      </w:r>
    </w:p>
    <w:p>
      <w:pPr>
        <w:spacing w:after="120"/>
        <w:ind w:firstLine="709"/>
      </w:pPr>
      <w:r>
        <w:rPr>
          <w:sz w:val="24"/>
        </w:rPr>
        <w:t xml:space="preserve">2. На определение судьи суда кассационной инстанции о передаче кассационных жалобы, представления для рассмотрения в судебном заседании суда кассационной инстанции не могут быть поданы кассационные жалоба, представление, надзорные жалоба, представление.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325</dc:title>
  <dc:creator>АРБИТРАЖ! · arbi.ru</dc:creator>
  <cp:lastModifiedBy>АРБИТРАЖ!</cp:lastModifiedBy>
  <dcterms:created xsi:type="dcterms:W3CDTF">2026-10-22T20:06:50.915Z</dcterms:created>
</cp:coreProperties>
</file>