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328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Основаниями для отмены или изменения судебных актов в кассационном порядке судебной коллегией Верховного Суда Российской Федерации являются существенные нарушения норм материального права или норм процессуального права, которые повлияли или могут повлиять на исход административного дела и без устранения которых невозможны восстановление и защита нарушенных прав, свобод и законных интересов, а также защита охраняемых законом публичных интересов.</w:t>
      </w:r>
    </w:p>
    <w:p>
      <w:pPr>
        <w:spacing w:after="120"/>
        <w:ind w:firstLine="709"/>
      </w:pPr>
      <w:r>
        <w:rPr>
          <w:sz w:val="24"/>
        </w:rPr>
        <w:t xml:space="preserve">2. Основаниями для отмены или изменения судебных актов в кассационном порядке президиумом верховного суда республики, краевого, областного суда, суда города федерального значения, суда автономной области, суда автономного округа, кассационным судом общей юрисдикции являются несоответствие выводов, изложенных в обжалованном судебном акте, обстоятельствам административного дела, неправильное применение норм материального права, нарушение или неправильное применение норм процессуального права, если оно привело или могло привести к принятию неправильного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Судебный акт подлежит безусловной отмене президиумом верховного суда республики, краевого, областного суда, суда города федерального значения, суда автономной области, суда автономного округа, кассационным судом общей юрисдикции в случаях, указанных в части 1 статьи 310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328</dc:title>
  <dc:creator>АРБИТРАЖ! · arbi.ru</dc:creator>
  <cp:lastModifiedBy>АРБИТРАЖ!</cp:lastModifiedBy>
  <dcterms:created xsi:type="dcterms:W3CDTF">2026-10-22T11:37:18.874Z</dcterms:created>
</cp:coreProperties>
</file>