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подаются непосредственно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Судебные акты, указанные в части 2 статьи 332 настоящего Кодекса, могут быть обжалованы в порядке надзора в течение трех месяцев со дня вступления их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Срок подачи надзорных жалобы, представления, пропущенный по уважительной причине лицом, обратившимся с такими жалобой, представлением, в том числе в связи с отсутствием у него сведений об обжалуемом судебном акте, по заявлению указанного лица может быть восстановлен судом надзорной инстанции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 или если заявление подано лицом, не участвовавшим в административном деле, о правах и об обязанностях которого суд принял судебный акт, со дня, когда это лицо узнало или должно было узнать о нарушении его прав, свобод и законных интересов обжалуемым судебным актом.</w:t>
      </w:r>
    </w:p>
    <w:p>
      <w:pPr>
        <w:spacing w:after="120"/>
        <w:ind w:firstLine="709"/>
      </w:pPr>
      <w:r>
        <w:rPr>
          <w:sz w:val="24"/>
        </w:rPr>
        <w:t xml:space="preserve">4. Заявление о восстановлении пропущенного срока подачи надзорных жалобы, представления рассматривается судьей суда надзорной инстанции в порядке, предусмотренном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жалобы, представления или об отказе в его восстановлении и вынести определение об отказе в восстановлении пропущенного срока подачи надзорных жалобы, представления или о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6. Надзорные жалоба, представление и прилагаемые к ним документы могут быть поданы в письменной форме на бумажном носителе, а также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333</dc:title>
  <dc:creator>АРБИТРАЖ! · arbi.ru</dc:creator>
  <cp:lastModifiedBy>АРБИТРАЖ!</cp:lastModifiedBy>
  <dcterms:created xsi:type="dcterms:W3CDTF">2026-10-22T20:13:15.511Z</dcterms:created>
</cp:coreProperties>
</file>