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представление, поданные в соответствии с правилами, установленными статьями 332 - 334 настоящего Кодекса, изучаются судьей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Судья Верховного Суда Российской Федерации изучает надзорные жалобу, представление по материалам, приложенным к жалобе, представлению, либо по материалам истребованного административного дела. В случае истребования административного дела он вправе вынести определение о приостановлении исполнения судебного акта до окончания производства в суде надзорной инстанции при наличии просьбы об этом в надзорных жалобе, представлении или ином ходатайстве.</w:t>
      </w:r>
    </w:p>
    <w:p>
      <w:pPr>
        <w:spacing w:after="120"/>
        <w:ind w:firstLine="709"/>
      </w:pPr>
      <w:r>
        <w:rPr>
          <w:sz w:val="24"/>
        </w:rPr>
        <w:t xml:space="preserve">3. По результатам изучения надзорных жалобы, представления судья Верховного Суда Российской Федерации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надзорных жалобы, представления для рассмотрения в судебном заседании Президиума Верховного Суда Российской Федерации, если отсутствуют основания для пересмотра судебных актов в порядке надзора. При этом надзорные жалоба, представление, а также копии обжалуемых судебных актов остаются в суде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надзорных жалобы, представления для рассмотрения в судебном заседании Президиума Верховного Суда Российской Федерации и до истечения срока подачи надзорных жалобы, представления на обжалуемый судебный акт вынести определение об отмене данного определения и передаче надзорных жалобы, представления для рассмотрения в судебном заседании Президиума Верховного Суда Российской Федерации.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337</dc:title>
  <dc:creator>АРБИТРАЖ! · arbi.ru</dc:creator>
  <cp:lastModifiedBy>АРБИТРАЖ!</cp:lastModifiedBy>
  <dcterms:created xsi:type="dcterms:W3CDTF">2026-10-22T20:04:13.444Z</dcterms:created>
</cp:coreProperties>
</file>