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постановлении Президиума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принявшего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номер административного дела, присвоенный судом первой инстанции,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административное дело, по которому принято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или фамилия, имя и отчество (при наличии)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фамилия и инициалы судьи, вынесшего определение о передаче надзорных жалобы, представления с административным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содержание обжалуемых судебных актов;</w:t>
      </w:r>
    </w:p>
    <w:p>
      <w:pPr>
        <w:spacing w:after="120"/>
        <w:ind w:firstLine="709"/>
      </w:pPr>
      <w:r>
        <w:rPr>
          <w:sz w:val="24"/>
        </w:rPr>
        <w:t xml:space="preserve">7) выводы Президиума Верховного Суда Российской Федерации по результатам рассмотрения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8) мотивы, по которым Президиум Верховного Суда Российской Федерации пришел к своим выводам, и ссылка на законы, которыми он руководствовался.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343</dc:title>
  <dc:creator>АРБИТРАЖ! · arbi.ru</dc:creator>
  <cp:lastModifiedBy>АРБИТРАЖ!</cp:lastModifiedBy>
  <dcterms:created xsi:type="dcterms:W3CDTF">2026-10-22T21:57:45.326Z</dcterms:created>
</cp:coreProperties>
</file>