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Заявление, представление о пересмотре вступившего в законную силу судебного акта по новым или вновь открывшимся обстоятельствам рассматриваются судом в судебном заседании в срок, не превышающий одного месяца со дня их поступления в суд. В случае истребования административного дела указанный в настоящей части срок исчисляется со дня поступления административного дела в суд.</w:t>
      </w:r>
    </w:p>
    <w:p>
      <w:pPr>
        <w:spacing w:after="120"/>
        <w:ind w:firstLine="709"/>
      </w:pPr>
      <w:r>
        <w:rPr>
          <w:sz w:val="24"/>
        </w:rPr>
        <w:t xml:space="preserve">2. Заявитель и другие лица, участвующие в деле, извещаются о времени и месте судебного заседания. Неявка в судебное заседание надлежащим образом извещенных лиц не является препятствием для рассмотрения заявления, представления.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349</dc:title>
  <dc:creator>АРБИТРАЖ! · arbi.ru</dc:creator>
  <cp:lastModifiedBy>АРБИТРАЖ!</cp:lastModifiedBy>
  <dcterms:created xsi:type="dcterms:W3CDTF">2026-10-22T22:54:46.728Z</dcterms:created>
</cp:coreProperties>
</file>