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352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Судебные акты приводятся в исполнение после вступления их в законную силу, за исключением случаев немедленного исполнения, в порядке, установленном настоящим Кодексом и другими федеральными законами, регулирующими вопросы исполнительного производства. В случае указания в судебных актах способов и сроков их исполнения они приводятся в исполнение теми способами и в те сроки, которые указаны судом.</w:t>
      </w:r>
    </w:p>
    <w:p>
      <w:pPr>
        <w:spacing w:after="120"/>
        <w:ind w:firstLine="709"/>
      </w:pPr>
      <w:r>
        <w:rPr>
          <w:sz w:val="24"/>
        </w:rPr>
        <w:t xml:space="preserve">2. В случае необходимости принудительное исполнение судебного акта производится на основании выданного судом исполнительного листа,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Процессуальные вопросы, связанные с исполнением судебных актов, разрешаются судьей единолично, если иное не предусмотрено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352</dc:title>
  <dc:creator>АРБИТРАЖ! · arbi.ru</dc:creator>
  <cp:lastModifiedBy>АРБИТРАЖ!</cp:lastModifiedBy>
  <dcterms:created xsi:type="dcterms:W3CDTF">2026-10-22T23:03:51.523Z</dcterms:created>
</cp:coreProperties>
</file>