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1.4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1. Задачи и принципы законодательства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Лица, совершившие административные правонарушения, равны перед законом. Физические лица подлежат административной ответственности независимо от пола, расы, национальности, языка,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а также других обстоятельств. Юридические лица подлежат административной ответственности независимо от места нахождения, организационно-правовых форм, подчиненности, а также других обстоятельств.</w:t>
      </w:r>
    </w:p>
    <w:p>
      <w:pPr>
        <w:spacing w:after="120"/>
        <w:ind w:firstLine="709"/>
      </w:pPr>
      <w:r>
        <w:rPr>
          <w:sz w:val="24"/>
        </w:rPr>
        <w:t xml:space="preserve">2. Особые условия применения мер обеспечения производства по делу об административном правонарушении и привлечения к административной ответственности должностных лиц, выполняющих определенные государственные функции (депутатов, судей, прокуроров, сотрудников Следственного комитета Российской Федерации и иных лиц), устанавливаются Конституцией Российской Федерации и федеральными законами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22.12.2014 N 439-ФЗ)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Особые условия применения мер административной ответственности в отношении некоммерческих организаций, а также являющихся субъектами малого и среднего предпринимательства лиц, осуществляющих предпринимательскую деятельность без образования юридического лица, и юридических лиц, а также руководителей и иных работников указанных юридических лиц, совершивших административные правонарушения в связи с выполнением организационно-распорядительных или административно-хозяйственных функций (далее - их работники), устанавливаются настоящим Кодексом 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03.07.2016 N 316-ФЗ; в ред. Федерального закона от 08.12.2020 N 410-ФЗ)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1.4</dc:title>
  <dc:creator>АРБИТРАЖ! · arbi.ru</dc:creator>
  <cp:lastModifiedBy>АРБИТРАЖ!</cp:lastModifiedBy>
  <dcterms:created xsi:type="dcterms:W3CDTF">2026-10-22T14:54:18.805Z</dcterms:created>
</cp:coreProperties>
</file>