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Задачи и принципы законодательства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ведению Российской Федерации в области законодательства об административных правонарушениях относится установление:</w:t>
      </w:r>
    </w:p>
    <w:p>
      <w:pPr>
        <w:spacing w:after="120"/>
        <w:ind w:firstLine="709"/>
      </w:pPr>
      <w:r>
        <w:rPr>
          <w:sz w:val="24"/>
        </w:rPr>
        <w:t xml:space="preserve">1) общих положений и принципов законодательства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2) перечня видов административных наказаний и правил их применения;</w:t>
      </w:r>
    </w:p>
    <w:p>
      <w:pPr>
        <w:spacing w:after="120"/>
        <w:ind w:firstLine="709"/>
      </w:pPr>
      <w:r>
        <w:rPr>
          <w:sz w:val="24"/>
        </w:rPr>
        <w:t xml:space="preserve">3) административной ответственности по вопросам, имеющим федеральное значение, в том числе административной ответственности за нарушение правил и норм, предусмотренных федеральными законами и иными нормативными правовыми актами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3.1) административной ответственности за нарушение правил и норм, предусмотренных нормативными правовыми актами органов публичной власти федеральной территории, устанавливающими особенности регулирования отдельных отношений в федеральной территории в сферах, определенных федеральными законами и иными нормативными правовыми актами Российской Федерации, либо предусмотренных нормативными правовыми актами органов публичной власти федеральной территории, принятыми в рамках осуществления полномочий, переданных им Российской Федерацией;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08.08.2024 N 245-ФЗ)</w:t>
      </w:r>
    </w:p>
    <w:p>
      <w:pPr>
        <w:spacing w:after="120"/>
        <w:ind w:firstLine="709"/>
      </w:pPr>
      <w:r>
        <w:rPr>
          <w:sz w:val="24"/>
        </w:rPr>
        <w:t xml:space="preserve">4) порядка производства по делам об административных правонарушениях, в том числе установление мер обеспечения производства по делам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5) порядка исполнения постановлений о назначении административных наказаний.</w:t>
      </w:r>
    </w:p>
    <w:p>
      <w:pPr>
        <w:spacing w:after="120"/>
        <w:ind w:firstLine="709"/>
      </w:pPr>
      <w:r>
        <w:rPr>
          <w:sz w:val="24"/>
        </w:rPr>
        <w:t xml:space="preserve">2. В соответствии с законодательством о судебной системе настоящий Кодекс определяет подсудность дел об административных правонарушениях судам.</w:t>
      </w:r>
    </w:p>
    <w:p>
      <w:pPr>
        <w:spacing w:after="120"/>
        <w:ind w:firstLine="709"/>
      </w:pPr>
      <w:r>
        <w:rPr>
          <w:sz w:val="24"/>
        </w:rPr>
        <w:t xml:space="preserve">3. В соответствии с законодательством о защите прав несовершеннолетних настоящий Кодекс определяет подведомственность дел об административных правонарушениях комиссиям по делам несовершеннолетних и защите их прав.</w:t>
      </w:r>
    </w:p>
    <w:p>
      <w:pPr>
        <w:spacing w:after="120"/>
        <w:ind w:firstLine="709"/>
      </w:pPr>
      <w:r>
        <w:rPr>
          <w:sz w:val="24"/>
        </w:rPr>
        <w:t xml:space="preserve">4. В соответствии с установленной структурой федеральных органов исполнительной власти настоящий Кодекс определяет подведомственность дел об административных правонарушениях, предусмотренных настоящим Кодексом, федеральным органам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5. В соответствии с задачами и функциями, возложенными на органы государственной власти субъектов Российской Федерации федеральными законами, настоящий Кодекс определяет подведомственность дел об административных правонарушениях, предусмотренных настоящим Кодексом, органам исполнительной власти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28.12.2009 N 380-ФЗ)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1.3</dc:title>
  <dc:creator>АРБИТРАЖ! · arbi.ru</dc:creator>
  <cp:lastModifiedBy>АРБИТРАЖ!</cp:lastModifiedBy>
  <dcterms:created xsi:type="dcterms:W3CDTF">2026-10-22T08:40:55.251Z</dcterms:created>
</cp:coreProperties>
</file>