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Задачи и принципы законодательства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Лицо, совершившее административное правонарушение, подлежит ответственности на основании закона, действовавшего во время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2 ст. 1.7 см. Постановления КС РФ от 17.07.2023 N 42-П и от 02.04.2024 N 14-П .</w:t>
      </w:r>
    </w:p>
    <w:p>
      <w:pPr>
        <w:spacing w:after="120"/>
        <w:ind w:firstLine="709"/>
      </w:pPr>
      <w:r>
        <w:rPr>
          <w:sz w:val="24"/>
        </w:rPr>
        <w:t xml:space="preserve">2. Закон, смягчающий или отменяющий административную ответственность за административное правонарушение либо иным образом улучшающий положение лица, совершившего административное правонарушение, имеет обратную силу, то есть распространяется и на лицо,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исполнено. Закон, устанавливающий или отягчающий административную ответственность за административное правонарушение либо иным образом ухудшающий положение лица, обратной силы не имеет.</w:t>
      </w:r>
    </w:p>
    <w:p>
      <w:pPr>
        <w:spacing w:after="120"/>
        <w:ind w:firstLine="709"/>
      </w:pPr>
      <w:r>
        <w:rPr>
          <w:sz w:val="24"/>
        </w:rPr>
        <w:t xml:space="preserve">2.1. В случае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ответственность, лицо подлежит административной ответственности на основании закона, действовавшего во время совершения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23.06.2016 N 195-ФЗ)</w:t>
      </w:r>
    </w:p>
    <w:p>
      <w:pPr>
        <w:spacing w:after="120"/>
        <w:ind w:firstLine="709"/>
      </w:pPr>
      <w:r>
        <w:rPr>
          <w:sz w:val="24"/>
        </w:rPr>
        <w:t xml:space="preserve">3. Производство по делу об административном правонарушении осуществляется на основании закона, действующего во время производства по указанному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1.7</dc:title>
  <dc:creator>АРБИТРАЖ! · arbi.ru</dc:creator>
  <cp:lastModifiedBy>АРБИТРАЖ!</cp:lastModifiedBy>
  <dcterms:created xsi:type="dcterms:W3CDTF">2026-10-22T17:04:50.987Z</dcterms:created>
</cp:coreProperties>
</file>