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2.1 см. Постановления КС РФ от 21.07.2021 N 39-П , от 14.04.2020 N 17-П , от 27.03.2023 N 11-П .</w:t>
      </w:r>
    </w:p>
    <w:p>
      <w:pPr>
        <w:spacing w:after="120"/>
        <w:ind w:firstLine="709"/>
      </w:pPr>
      <w:r>
        <w:rPr>
          <w:sz w:val="24"/>
        </w:rPr>
        <w:t xml:space="preserve">2.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after="120"/>
        <w:ind w:firstLine="709"/>
      </w:pPr>
      <w:r>
        <w:rPr>
          <w:sz w:val="24"/>
        </w:rPr>
        <w:t xml:space="preserve">3.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лицо, за исключением случаев, предусмотренных частями 4 и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Юридическое лицо не подлежит административной ответственности за совершение административного правонарушения,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орган, имеющий статус юридического лица, привлечен к административной ответственности, если таким юридическим лицом были приняты все предусмотренные законодательством Российской Федерации меры для соблюдения правил и норм, за нарушение которых предусмотрена административная ответственность, за исключением случаев, предусмотренных частью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26.03.2022 N 70-ФЗ)</w:t>
      </w:r>
    </w:p>
    <w:p>
      <w:pPr>
        <w:spacing w:after="120"/>
        <w:ind w:firstLine="709"/>
      </w:pPr>
      <w:r>
        <w:rPr>
          <w:sz w:val="24"/>
        </w:rPr>
        <w:t xml:space="preserve">5. Если за совершение административного правонарушения юридическому лицу назначено административное наказание в виде административного штрафа, который устанавливается в соответствии с пунктом 3 или 5 части 1 статьи 3.5 настоящего Кодекса, должностное лицо или иной работник данного юридического лица либо его единоличный исполнительный орган, имеющий статус юридического лица, не подлежат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26.03.2022 N 70-ФЗ)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2.1</dc:title>
  <dc:creator>АРБИТРАЖ! · arbi.ru</dc:creator>
  <cp:lastModifiedBy>АРБИТРАЖ!</cp:lastModifiedBy>
  <dcterms:created xsi:type="dcterms:W3CDTF">2026-10-22T20:14:34.524Z</dcterms:created>
</cp:coreProperties>
</file>