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Административной ответственности подлежит лицо, достигшее к моменту совершения административного правонарушения возраста шестнадцати лет.</w:t>
      </w:r>
    </w:p>
    <w:p>
      <w:pPr>
        <w:spacing w:after="120"/>
        <w:ind w:firstLine="709"/>
      </w:pPr>
      <w:r>
        <w:rPr>
          <w:sz w:val="24"/>
        </w:rPr>
        <w:t xml:space="preserve">2. С учетом конкретных обстоятельств дела и данных о лице, совершившем административное правонарушение в возрасте от шестнадцати до восемнадцати лет,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воздействия, предусмотренной федеральным законодательством о защите прав несовершеннолетних.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2.3</dc:title>
  <dc:creator>АРБИТРАЖ! · arbi.ru</dc:creator>
  <cp:lastModifiedBy>АРБИТРАЖ!</cp:lastModifiedBy>
  <dcterms:created xsi:type="dcterms:W3CDTF">2026-10-22T20:18:20.979Z</dcterms:created>
</cp:coreProperties>
</file>