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2. Административное правонарушение и административная ответственность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Юридические лица подлежат административной ответственности за совершение административных правонарушений в случаях, предусмотренных статьями раздела II настоящего Кодекса или законами субъектов Российской Федерации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статьях разделов I , III , IV , V настоящего Кодекса не указано, что установленные данными статьями нормы применяются только к физическому лицу или только к юридическому лицу, данные нормы в равной мере действуют в отношении и физического, и юридического лица, за исключением случаев, если по смыслу данные нормы относятся и могут быть применены только к физическому лицу.</w:t>
      </w:r>
    </w:p>
    <w:p>
      <w:pPr>
        <w:spacing w:after="120"/>
        <w:ind w:firstLine="709"/>
      </w:pPr>
      <w:r>
        <w:rPr>
          <w:sz w:val="24"/>
        </w:rPr>
        <w:t xml:space="preserve">3.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лицо.</w:t>
      </w:r>
    </w:p>
    <w:p>
      <w:pPr>
        <w:spacing w:after="120"/>
        <w:ind w:firstLine="709"/>
      </w:pPr>
      <w:r>
        <w:rPr>
          <w:sz w:val="24"/>
        </w:rPr>
        <w:t xml:space="preserve">4.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лицо.</w:t>
      </w:r>
    </w:p>
    <w:p>
      <w:pPr>
        <w:spacing w:after="120"/>
        <w:ind w:firstLine="709"/>
      </w:pPr>
      <w:r>
        <w:rPr>
          <w:sz w:val="24"/>
        </w:rPr>
        <w:t xml:space="preserve">5.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лицо, к которому согласно разделительному балансу перешли права и обязанности по заключенным сделкам или имуществу, в связи с которыми было совершено административное правонарушение.</w:t>
      </w:r>
    </w:p>
    <w:p>
      <w:pPr>
        <w:spacing w:after="120"/>
        <w:ind w:firstLine="709"/>
      </w:pPr>
      <w:r>
        <w:rPr>
          <w:sz w:val="24"/>
        </w:rPr>
        <w:t xml:space="preserve">6.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лицо.</w:t>
      </w:r>
    </w:p>
    <w:p>
      <w:pPr>
        <w:spacing w:after="120"/>
        <w:ind w:firstLine="709"/>
      </w:pPr>
      <w:r>
        <w:rPr>
          <w:sz w:val="24"/>
        </w:rPr>
        <w:t xml:space="preserve">7. В случаях, указанных в частях 3 - 6 настоящей статьи, административная ответственность за совершение административного правонарушения наступает независимо от того,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реорганизации.</w:t>
      </w:r>
    </w:p>
    <w:p>
      <w:pPr>
        <w:spacing w:after="120"/>
        <w:ind w:firstLine="709"/>
      </w:pPr>
      <w:r>
        <w:rPr>
          <w:sz w:val="24"/>
        </w:rPr>
        <w:t xml:space="preserve">8. Административные наказания, назначенные в соответствии с пунктами 2 - 4 части 1 статьи 3.2 настоящего Кодекса юридическому лицу за совершение административного правонарушения до завершения реорганизации юридического лица, применяются с учетом положений частей 3 - 6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9. В случае совершения административного правонарушения единоличным исполнительным органом юридического лица, имеющим статус юридического лица, административное наказание назначается ему в пределах санкции, предусмотренной для юридических лиц.</w:t>
      </w:r>
    </w:p>
    <w:p>
      <w:pPr>
        <w:spacing w:after="120"/>
        <w:ind w:firstLine="709"/>
      </w:pPr>
      <w:r>
        <w:rPr>
          <w:sz w:val="24"/>
        </w:rPr>
        <w:t xml:space="preserve">(часть девятая введена Федеральным законом от 09.02.2009 N 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2.10</dc:title>
  <dc:creator>АРБИТРАЖ! · arbi.ru</dc:creator>
  <cp:lastModifiedBy>АРБИТРАЖ!</cp:lastModifiedBy>
  <dcterms:created xsi:type="dcterms:W3CDTF">2026-10-23T00:32:16.582Z</dcterms:created>
</cp:coreProperties>
</file>