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постановления, за исключением случаев, предусмотренных частями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наказания,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штрафа.</w:t>
      </w:r>
    </w:p>
    <w:p>
      <w:pPr>
        <w:spacing w:after="120"/>
        <w:ind w:firstLine="709"/>
      </w:pPr>
      <w:r>
        <w:rPr>
          <w:sz w:val="24"/>
        </w:rPr>
        <w:t xml:space="preserve">3. Лицо, указанное в части 4 статьи 32.6.1 настоящего Кодекса, считается не подвергнутым административному наказанию.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08.08.2024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4.6</dc:title>
  <dc:creator>АРБИТРАЖ! · arbi.ru</dc:creator>
  <cp:lastModifiedBy>АРБИТРАЖ!</cp:lastModifiedBy>
  <dcterms:created xsi:type="dcterms:W3CDTF">2026-10-22T20:38:28.759Z</dcterms:created>
</cp:coreProperties>
</file>