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рассматривая дело об административном правонарушении,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ущерба.</w:t>
      </w:r>
    </w:p>
    <w:p>
      <w:pPr>
        <w:spacing w:after="120"/>
        <w:ind w:firstLine="709"/>
      </w:pPr>
      <w:r>
        <w:rPr>
          <w:sz w:val="24"/>
        </w:rPr>
        <w:t xml:space="preserve">Споры о возмещении имущественного ущерба разрешаются судом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По делу об административном правонарушении, рассматриваемому иными уполномоченными органом или должностным лицом, спор о возмещении имущественного ущерба разрешается судом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Споры о возмещении морального вреда, причиненного административным правонарушением, рассматриваются судом в порядке гражданского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4.7</dc:title>
  <dc:creator>АРБИТРАЖ! · arbi.ru</dc:creator>
  <cp:lastModifiedBy>АРБИТРАЖ!</cp:lastModifiedBy>
  <dcterms:created xsi:type="dcterms:W3CDTF">2026-10-22T22:55:33.171Z</dcterms:created>
</cp:coreProperties>
</file>