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29.06.2013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осуществлению права на свободу совести и свободу вероисповедания, в том числе принятию религиозных или иных убеждений или отказу от них, вступлению в религиозное объединение или выходу из него,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пятидесяти тысяч до ста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06.07.2016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Умышленное публичное осквернение религиозной или богослужебной литературы, предметов религиозного почитания, знаков или эмблем мировоззренческой символики и атрибутики либо их порча или уничтожение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часов; на должностных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5.26 см. Постановление КС РФ от 03.11.2020 N 45-П.</w:t>
      </w:r>
    </w:p>
    <w:p>
      <w:pPr>
        <w:spacing w:after="120"/>
        <w:ind w:firstLine="709"/>
      </w:pPr>
      <w:r>
        <w:rPr>
          <w:sz w:val="24"/>
        </w:rPr>
        <w:t xml:space="preserve">3. Осуществление религиозной организацией деятельности без указания своего официального полного наименования , в том числе выпуск или распространение в рамках миссионерской деятельности литературы, печатных, аудио- и видеоматериалов без маркировки с указанным наименованием или с неполной либо заведомо ложной маркировкой,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конфискацией литературы, печатных, аудио- и видеоматериалов.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4. Осуществление миссионерской деятельности с нарушением требований законодательства о свободе совести, свободе вероисповедания и о религиозных объединениях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пятидесяти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ч. 5 ст. 5.26 излагается в новой редакции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Нарушение, предусмотренное частью 4 настоящей статьи, совершенное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06.07.2016 N 374-ФЗ)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5.26</dc:title>
  <dc:creator>АРБИТРАЖ! · arbi.ru</dc:creator>
  <cp:lastModifiedBy>АРБИТРАЖ!</cp:lastModifiedBy>
  <dcterms:created xsi:type="dcterms:W3CDTF">2026-10-22T19:35:39.716Z</dcterms:created>
</cp:coreProperties>
</file>