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09.11.2024 N 378-ФЗ)</w:t>
      </w:r>
    </w:p>
    <w:p>
      <w:pPr>
        <w:spacing w:after="120"/>
        <w:ind w:firstLine="709"/>
      </w:pPr>
      <w:r>
        <w:rPr>
          <w:sz w:val="24"/>
        </w:rPr>
        <w:t xml:space="preserve">Осуществление деятельности по трудоустройству граждан Российской Федерации за пределами территории Российской Федерации для работы на судах, плавающих под флагом иностранного государства, с нарушением предусмотренных законодательством Российской Федерации требований к осуществлению такой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тридцати пяти тысяч до сорока тысяч рублей; на юридических лиц - от четырехсот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5.27.2</dc:title>
  <dc:creator>АРБИТРАЖ! · arbi.ru</dc:creator>
  <cp:lastModifiedBy>АРБИТРАЖ!</cp:lastModifiedBy>
  <dcterms:created xsi:type="dcterms:W3CDTF">2026-10-22T10:50:13.189Z</dcterms:created>
</cp:coreProperties>
</file>