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5.48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04.07.2003 N 94-ФЗ)</w:t>
      </w:r>
    </w:p>
    <w:p>
      <w:pPr>
        <w:spacing w:after="120"/>
        <w:ind w:firstLine="709"/>
      </w:pPr>
      <w:r>
        <w:rPr>
          <w:sz w:val="24"/>
        </w:rPr>
        <w:t xml:space="preserve">Нарушение прав зарегистрированных кандидатов, избирательных объединений, инициативных групп по проведению референдума, иных групп участников референдума на размещение агитационных материалов на объекте, находящемся в государственной или муниципальной собственности либо в собственности организации, в уставном (складочном) капитале которой доля (вклад) Российской Федерации, субъектов Российской Федерации и (или) муниципальных образований на день официального опубликования (публикации) решения о назначении выборов, регистрации инициативной группы по проведению референдума превышает 30 процентов, а равно нарушение организациями, оказывающими рекламные услуги, условий размещения агитационных материалов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пятисот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5.48</dc:title>
  <dc:creator>АРБИТРАЖ! · arbi.ru</dc:creator>
  <cp:lastModifiedBy>АРБИТРАЖ!</cp:lastModifiedBy>
  <dcterms:created xsi:type="dcterms:W3CDTF">2026-10-22T23:03:28.958Z</dcterms:created>
</cp:coreProperties>
</file>