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219-ФЗ)</w:t>
      </w:r>
    </w:p>
    <w:p>
      <w:pPr>
        <w:spacing w:after="120"/>
        <w:ind w:firstLine="709"/>
      </w:pPr>
      <w:r>
        <w:rPr>
          <w:sz w:val="24"/>
        </w:rPr>
        <w:t xml:space="preserve">1. Непроведение проверки или несвоевременное проведение по требованию субъекта кредитной истории проверки бюро кредитных историй информации, содержащейся в кредитной истории (кредитном отчете),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пятисот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информации, содержащейся в кредитной истории (кредитном отчете),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5.54</dc:title>
  <dc:creator>АРБИТРАЖ! · arbi.ru</dc:creator>
  <cp:lastModifiedBy>АРБИТРАЖ!</cp:lastModifiedBy>
  <dcterms:created xsi:type="dcterms:W3CDTF">2026-10-22T21:57:18.198Z</dcterms:created>
</cp:coreProperties>
</file>