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24.11.2014 N 355-ФЗ)</w:t>
      </w:r>
    </w:p>
    <w:p>
      <w:pPr>
        <w:spacing w:after="120"/>
        <w:ind w:firstLine="709"/>
      </w:pPr>
      <w:r>
        <w:rPr>
          <w:sz w:val="24"/>
        </w:rPr>
        <w:t xml:space="preserve">Использование политической партией или ее региональным отделением при финансировании своей деятельности, не связанной с участием в выборах и референдумах, денежных средств и иного имущества, полученных в качестве пожертвований от физического или юридического лица либо другого субъекта, которым законодательством Российской Федерации о политических партиях запрещено осуществлять пожертвования, либо полученных в размере, превышающем максимальный размер соответствующего пожертвования, либо перечисленных (переданных) с нарушением установленного указанным законодательством порядка,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политическую партию или ее региональное отделение в размере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5.65</dc:title>
  <dc:creator>АРБИТРАЖ! · arbi.ru</dc:creator>
  <cp:lastModifiedBy>АРБИТРАЖ!</cp:lastModifiedBy>
  <dcterms:created xsi:type="dcterms:W3CDTF">2026-10-22T12:31:38.944Z</dcterms:created>
</cp:coreProperties>
</file>