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09.03.2016 N 66-ФЗ)</w:t>
      </w:r>
    </w:p>
    <w:p>
      <w:pPr>
        <w:spacing w:after="120"/>
        <w:ind w:firstLine="709"/>
      </w:pPr>
      <w:r>
        <w:rPr>
          <w:sz w:val="24"/>
        </w:rPr>
        <w:t xml:space="preserve">Вмешательство в осуществление избирательной комиссией, комиссией референдума полномочий, установленных законодательством о выборах и референдумах, повлекшее нарушение установленного законодательством о выборах и референдумах порядка работы избирательной комиссии, либо создание помех участию избирателей, участников референдума, участников общероссийского голосования в голосовании,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5.69</dc:title>
  <dc:creator>АРБИТРАЖ! · arbi.ru</dc:creator>
  <cp:lastModifiedBy>АРБИТРАЖ!</cp:lastModifiedBy>
  <dcterms:created xsi:type="dcterms:W3CDTF">2026-10-22T19:34:34.327Z</dcterms:created>
</cp:coreProperties>
</file>