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сокрытие источника заражения ВИЧ-инфекцией, венерической болезнью и контактов, создающих опасность заражения</w:t>
      </w:r>
    </w:p>
    <w:p>
      <w:pPr>
        <w:spacing w:after="120"/>
        <w:ind w:firstLine="709"/>
      </w:pPr>
      <w:r>
        <w:rPr>
          <w:sz w:val="24"/>
        </w:rPr>
        <w:t xml:space="preserve">Сокрытие лицом, больным ВИЧ-инфекцией, венерическим заболеванием, источника заражения, а также лиц, имевших с указанным лицом контакты, создающие опасность заражения этими заболеваниями,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</dc:title>
  <dc:creator>АРБИТРАЖ! · arbi.ru</dc:creator>
  <cp:lastModifiedBy>АРБИТРАЖ!</cp:lastModifiedBy>
  <dcterms:created xsi:type="dcterms:W3CDTF">2026-10-22T21:10:31.325Z</dcterms:created>
</cp:coreProperties>
</file>