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358-ФЗ)</w:t>
      </w:r>
    </w:p>
    <w:p>
      <w:pPr>
        <w:spacing w:after="120"/>
        <w:ind w:firstLine="709"/>
      </w:pPr>
      <w:r>
        <w:rPr>
          <w:sz w:val="24"/>
        </w:rPr>
        <w:t xml:space="preserve">Нарушение законодательства Российской Федерации в области генно-инженерной деятельности, выразившееся в использовании генно-инженерно-модифицированных организмов и (или) продукции, полученной с применением таких организмов или содержащей такие организмы, которые не прошли государственную регистрацию в случае, если государственная регистрация предусмотрена указанным законодательством , или срок действия свидетельства о государственной регистрации которых истек, либо в использовании генно-инженерно-модифицированных организмов не в соответствии с целями, для которых они зарегистрированы, либо в нарушении специальных условий использования генно-инженерно-модифицированных организмов, в том числе при производстве конкретного вида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6.3.1</dc:title>
  <dc:creator>АРБИТРАЖ! · arbi.ru</dc:creator>
  <cp:lastModifiedBy>АРБИТРАЖ!</cp:lastModifiedBy>
  <dcterms:created xsi:type="dcterms:W3CDTF">2026-10-22T20:11:11.601Z</dcterms:created>
</cp:coreProperties>
</file>