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6.5 КоАП РФ за нарушение санитарно-эпидемиологических требований к питьевой воде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гражданин, орган власти) обжалует привлечение к ответственности за нарушение санитарно-эпидемиологических требований к питьевой воде</w:t>
      </w:r>
    </w:p>
    <w:p>
      <w:pPr>
        <w:spacing w:after="120"/>
        <w:ind w:firstLine="709"/>
      </w:pPr>
      <w:r>
        <w:rPr>
          <w:sz w:val="24"/>
        </w:rPr>
        <w:t xml:space="preserve">Нарушение санитарно-эпидемиологических требований к питьевой воде, а также к питьевому и хозяйственно-бытовому водоснабжению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лиц, осуществляющих предпринимательскую деятельность без образования юридического лица, - от двух тысяч до трех тысяч рублей или административное приостановление деятельности на срок до девяноста суток; на юридических лиц - от двадцати тысяч до тридцати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6.5</dc:title>
  <dc:creator>АРБИТРАЖ! · arbi.ru</dc:creator>
  <cp:lastModifiedBy>АРБИТРАЖ!</cp:lastModifiedBy>
  <dcterms:created xsi:type="dcterms:W3CDTF">2026-10-22T11:42:29.674Z</dcterms:created>
</cp:coreProperties>
</file>