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03.02.2015 N 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6.10.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вовлечение несовершеннолетнего в употребление алкогольной или спиртосодержащей продукции и т.п.</w:t>
      </w:r>
    </w:p>
    <w:p>
      <w:pPr>
        <w:spacing w:after="120"/>
        <w:ind w:firstLine="709"/>
      </w:pPr>
      <w:r>
        <w:rPr>
          <w:sz w:val="24"/>
        </w:rPr>
        <w:t xml:space="preserve">1. Вовлечение несовершеннолетнего в употребление алкогольной и спиртосодержащей продукции, новых потенциально опасных психоактивных веществ или одурманивающих веществ , за исключением случаев, предусмотренных частью 2 статьи 6.18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03.02.2015 N 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родителями или иными законными представителями несовершеннолетних, за исключением случаев, предусмотренных частью 2 статьи 6.18 настоящего Кодекса, а также лицами, на которых возложены обязанности по обучению и воспитанию несовершеннолетних,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четырех тысяч до пяти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6.10</dc:title>
  <dc:creator>АРБИТРАЖ! · arbi.ru</dc:creator>
  <cp:lastModifiedBy>АРБИТРАЖ!</cp:lastModifiedBy>
  <dcterms:created xsi:type="dcterms:W3CDTF">2026-10-22T20:12:59.821Z</dcterms:created>
</cp:coreProperties>
</file>