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04.02.2021 N 4-ФЗ)</w:t>
      </w:r>
    </w:p>
    <w:p>
      <w:pPr>
        <w:spacing w:after="120"/>
        <w:ind w:firstLine="709"/>
      </w:pPr>
      <w:r>
        <w:rPr>
          <w:sz w:val="24"/>
        </w:rPr>
        <w:t xml:space="preserve">Пропаганда , в том числе посредством информационно-телекоммуникационной сети "Интернет", использования (потребления) закиси азота либо распространение информации о реализации (сбыте) закиси азота не в целях производства пищевой продукции, продовольственных товаров или продуктов питания либо не для медицинского, промышленного или технического применения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десяти тысяч до двадцати тысяч рублей либо административное приостановление деятельности на срок до тридцати суток; на юридических лиц - от пятидесяти тысяч до ста пятидесяти тысяч рублей либо административное приостановление деятельности на срок до тридцати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6.13.1</dc:title>
  <dc:creator>АРБИТРАЖ! · arbi.ru</dc:creator>
  <cp:lastModifiedBy>АРБИТРАЖ!</cp:lastModifiedBy>
  <dcterms:created xsi:type="dcterms:W3CDTF">2026-10-23T13:12:54.780Z</dcterms:created>
</cp:coreProperties>
</file>