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58-ФЗ)</w:t>
      </w:r>
    </w:p>
    <w:p>
      <w:pPr>
        <w:spacing w:after="120"/>
        <w:ind w:firstLine="709"/>
      </w:pPr>
      <w:r>
        <w:rPr>
          <w:sz w:val="24"/>
        </w:rPr>
        <w:t xml:space="preserve">Создание юридическим лицом условий для торговли детьми и (или) эксплуатации детей, выразившееся в предоставлении помещений, транспортных средств или иных материальных средств, в создании бытовых условий для торговли детьми и (или) эксплуатации детей, в оказании услуг, содействующих торговле детьми и (или) эксплуатации детей, либо в финансировании торговли детьми и (или) эксплуатации детей,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юридическое лицо несет ответственность в случае, если это правонарушение совершено от имени или в интересах юридического лица лицом, выполняющим управленческие функции в данной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 настоящей статье под лицом, выполняющим управленческие функции в организации, понимается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данной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6.19</dc:title>
  <dc:creator>АРБИТРАЖ! · arbi.ru</dc:creator>
  <cp:lastModifiedBy>АРБИТРАЖ!</cp:lastModifiedBy>
  <dcterms:created xsi:type="dcterms:W3CDTF">2026-10-22T21:09:53.834Z</dcterms:created>
</cp:coreProperties>
</file>