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101-ФЗ)</w:t>
      </w:r>
    </w:p>
    <w:p>
      <w:pPr>
        <w:spacing w:after="120"/>
        <w:ind w:firstLine="709"/>
      </w:pPr>
      <w:r>
        <w:rPr>
          <w:sz w:val="24"/>
        </w:rPr>
        <w:t xml:space="preserve">1. Распространение экземпляров аудиовизуальной продукции и фонограмм на любых видах носителей, экземпляров печатной продукции (за исключением продукции средств массовой информации), содержащих нецензурную брань, без специальной упаковки и текстового предупреждения в виде словосочетания "содержит нецензурную брань"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пяти тысяч рублей; на должностных лиц - от пяти тысяч до двадцати тысяч рублей или дисквалификацию на срок от шести месяцев до одного года; на лиц, осуществляющих предпринимательскую деятельность без образования юридического лица, - от пяти тысяч до двадцати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6.27</dc:title>
  <dc:creator>АРБИТРАЖ! · arbi.ru</dc:creator>
  <cp:lastModifiedBy>АРБИТРАЖ!</cp:lastModifiedBy>
  <dcterms:created xsi:type="dcterms:W3CDTF">2026-10-22T07:33:04.579Z</dcterms:created>
</cp:coreProperties>
</file>