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6.31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119-ФЗ)</w:t>
      </w:r>
    </w:p>
    <w:p>
      <w:pPr>
        <w:spacing w:after="120"/>
        <w:ind w:firstLine="709"/>
      </w:pPr>
      <w:r>
        <w:rPr>
          <w:sz w:val="24"/>
        </w:rPr>
        <w:t xml:space="preserve">1. Несоблюдение субъектами обращения донорской крови и (или) ее компонентов правил заготовки, хранения, транспортировки и клинического использования донорской крови и ее компонентов, установленных Правительством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05.04.2021 N 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двух тысяч до трех тысяч рублей; на юридических лиц - от двадцати тысяч до тридцати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2. Несообщение или сокрытие информации о реакциях и об осложнениях, возникших у реципиентов в связи с трансфузией (переливанием) донорской крови и (или) ее компонентов, субъектами обращения донорской крови и (или) ее компонентов, осуществляющими их клиническое использование,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двух тысяч до трех тысяч рублей; на юридических лиц - от тридцати тысяч до сорока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6.31</dc:title>
  <dc:creator>АРБИТРАЖ! · arbi.ru</dc:creator>
  <cp:lastModifiedBy>АРБИТРАЖ!</cp:lastModifiedBy>
  <dcterms:created xsi:type="dcterms:W3CDTF">2026-10-22T22:17:24.353Z</dcterms:created>
</cp:coreProperties>
</file>