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245-ФЗ)</w:t>
      </w:r>
    </w:p>
    <w:p>
      <w:pPr>
        <w:spacing w:after="120"/>
        <w:ind w:firstLine="709"/>
      </w:pPr>
      <w:r>
        <w:rPr>
          <w:sz w:val="24"/>
        </w:rPr>
        <w:t xml:space="preserve">Совершение сделок с археологическими предметами в нарушение требований, установленных законодательством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 с конфискацией археологических предметов; на должностных лиц - от двадцати тысяч до пятидесяти тысяч рублей с конфискацией археологических предметов; на юридических лиц - от трехсот тысяч до восьмисот тысяч рублей с конфискацией археологических предметов.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7.15.1</dc:title>
  <dc:creator>АРБИТРАЖ! · arbi.ru</dc:creator>
  <cp:lastModifiedBy>АРБИТРАЖ!</cp:lastModifiedBy>
  <dcterms:created xsi:type="dcterms:W3CDTF">2026-10-22T17:19:16.334Z</dcterms:created>
</cp:coreProperties>
</file>