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245-ФЗ)</w:t>
      </w:r>
    </w:p>
    <w:p>
      <w:pPr>
        <w:spacing w:after="120"/>
        <w:ind w:firstLine="709"/>
      </w:pPr>
      <w:r>
        <w:rPr>
          <w:sz w:val="24"/>
        </w:rPr>
        <w:t xml:space="preserve">Совершение сделок с археологическими предметами в нарушение требований, установленных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археологических предметов; на должностных лиц - от двадцати тысяч до пятидесяти тысяч рублей с конфискацией археологических предметов; на юридических лиц - от трехсот тысяч до восьмисот тысяч рублей с конфискацией археологических предметов.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7.15.1</dc:title>
  <dc:creator>АРБИТРАЖ! · arbi.ru</dc:creator>
  <cp:lastModifiedBy>АРБИТРАЖ!</cp:lastModifiedBy>
  <dcterms:created xsi:type="dcterms:W3CDTF">2026-10-22T22:18:02.171Z</dcterms:created>
</cp:coreProperties>
</file>