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24.04.2020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ИП, организация) обжалует привлечение к ответственности за нарушение правил пользования жилыми помещениями либо самовольное переустройство и (или) перепланировку помещения в МКД</w:t>
      </w:r>
    </w:p>
    <w:p>
      <w:pPr>
        <w:spacing w:after="120"/>
        <w:ind w:firstLine="709"/>
      </w:pPr>
      <w:r>
        <w:rPr>
          <w:sz w:val="24"/>
        </w:rPr>
        <w:t xml:space="preserve">1. Порча жилых помещений или порча их оборудования либо использование жилых помещений не по назначению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24.04.2020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24.04.2020 N 133-ФЗ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Самовольные переустройство и (или) перепланировка помещения в многоквартирном доме, если иное не установлено частью 4 статьи 9.23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24.04.2020 N 133-ФЗ , от 06.04.2024 N 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двух тысяч пятисот рублей; на должностных лиц -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24.04.2020 N 133-ФЗ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24.04.2020 N 133-ФЗ)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7.21</dc:title>
  <dc:creator>АРБИТРАЖ! · arbi.ru</dc:creator>
  <cp:lastModifiedBy>АРБИТРАЖ!</cp:lastModifiedBy>
  <dcterms:created xsi:type="dcterms:W3CDTF">2026-10-22T21:34:18.097Z</dcterms:created>
</cp:coreProperties>
</file>