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обеспечения населения коммунальными услугами</w:t>
      </w:r>
    </w:p>
    <w:p>
      <w:pPr>
        <w:spacing w:after="120"/>
        <w:ind w:firstLine="709"/>
      </w:pPr>
      <w:r>
        <w:rPr>
          <w:sz w:val="24"/>
        </w:rPr>
        <w:t xml:space="preserve">1. Нарушение нормативного уровня или режима обеспечения населения коммунальными услугами,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нормативного уровня или режима обеспечения населения коммунальными услугами лицами, осуществляющими поставки ресурсов, необходимых для предоставления коммунальных услуг,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</dc:title>
  <dc:creator>АРБИТРАЖ! · arbi.ru</dc:creator>
  <cp:lastModifiedBy>АРБИТРАЖ!</cp:lastModifiedBy>
  <dcterms:created xsi:type="dcterms:W3CDTF">2026-10-22T22:17:12.646Z</dcterms:created>
</cp:coreProperties>
</file>