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7.24.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(организация, ИП, гражданин) обжалует привлечение к ответственности за нарушение порядка распоряжения или использования объекта нежилого фонда, находящегося в федеральной собственности</w:t>
      </w:r>
    </w:p>
    <w:p>
      <w:pPr>
        <w:spacing w:after="120"/>
        <w:ind w:firstLine="709"/>
      </w:pPr>
      <w:r>
        <w:rPr>
          <w:sz w:val="24"/>
        </w:rPr>
        <w:t xml:space="preserve">1. Распоряжение объектом нежилого фонда, находящимся в федеральной собственности, без разрешения специально уполномоченного федерального органа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7.24</dc:title>
  <dc:creator>АРБИТРАЖ! · arbi.ru</dc:creator>
  <cp:lastModifiedBy>АРБИТРАЖ!</cp:lastModifiedBy>
  <dcterms:created xsi:type="dcterms:W3CDTF">2026-10-22T17:01:39.995Z</dcterms:created>
</cp:coreProperties>
</file>