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7.24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7.24.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(организация, ИП, гражданин) обжалует привлечение к ответственности за нарушение порядка распоряжения или использования объекта нежилого фонда, находящегося в федеральной собственности</w:t>
      </w:r>
    </w:p>
    <w:p>
      <w:pPr>
        <w:spacing w:after="120"/>
        <w:ind w:firstLine="709"/>
      </w:pPr>
      <w:r>
        <w:rPr>
          <w:sz w:val="24"/>
        </w:rPr>
        <w:t xml:space="preserve">1. Распоряжение объектом нежилого фонда, находящимся в федеральной собственности, без разрешения специально уполномоченного федерального органа исполнительной власти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четырех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Использование находящегося в федеральной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рублей; на юридических лиц -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7.24</dc:title>
  <dc:creator>АРБИТРАЖ! · arbi.ru</dc:creator>
  <cp:lastModifiedBy>АРБИТРАЖ!</cp:lastModifiedBy>
  <dcterms:created xsi:type="dcterms:W3CDTF">2026-10-22T22:43:58.298Z</dcterms:created>
</cp:coreProperties>
</file>