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7.24.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(организация, ИП, гражданин) обжалует привлечение к ответственности за нарушение порядка распоряжения или использования объекта нежилого фонда, находящегося в федеральной собственности</w:t>
      </w:r>
    </w:p>
    <w:p>
      <w:pPr>
        <w:spacing w:after="120"/>
        <w:ind w:firstLine="709"/>
      </w:pPr>
      <w:r>
        <w:rPr>
          <w:sz w:val="24"/>
        </w:rPr>
        <w:t xml:space="preserve">1. Распоряжение объектом нежилого фонда, находящимся в федеральной собственности, без разрешения специально уполномоченного федерального органа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7.24</dc:title>
  <dc:creator>АРБИТРАЖ! · arbi.ru</dc:creator>
  <cp:lastModifiedBy>АРБИТРАЖ!</cp:lastModifiedBy>
  <dcterms:created xsi:type="dcterms:W3CDTF">2026-10-22T21:07:48.348Z</dcterms:created>
</cp:coreProperties>
</file>