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07.12.2011 N 420-ФЗ)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7.27.1.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лицо) обжалует привлечение к ответственности за причинение имущественного ущерба путем обмана или злоупотребления доверием</w:t>
      </w:r>
    </w:p>
    <w:p>
      <w:pPr>
        <w:spacing w:after="120"/>
        <w:ind w:firstLine="709"/>
      </w:pPr>
      <w:r>
        <w:rPr>
          <w:sz w:val="24"/>
        </w:rPr>
        <w:t xml:space="preserve">Причинение имущественного ущерба собственнику или иному владельцу имущества путем обмана или злоупотребления доверием при отсутствии признаков уголовно наказуемого деяния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до пятикратной стоимости причиненного ущерба, но не менее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7.27.1</dc:title>
  <dc:creator>АРБИТРАЖ! · arbi.ru</dc:creator>
  <cp:lastModifiedBy>АРБИТРАЖ!</cp:lastModifiedBy>
  <dcterms:created xsi:type="dcterms:W3CDTF">2026-10-22T23:29:11.277Z</dcterms:created>
</cp:coreProperties>
</file>