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7.28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Нарушение установленного порядка патентования объектов промышленной собственности в иностранных государствах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двух тысяч рублей; на юридических лиц - от пятидесяти тысяч до восьмидесяти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/>
    <w:p>
      <w:pPr>
        <w:spacing w:after="120"/>
        <w:ind w:firstLine="709"/>
      </w:pPr>
      <w:r>
        <w:rPr>
          <w:sz w:val="24"/>
        </w:rPr>
        <w:t xml:space="preserve">## Статья 7.29, статья 7.29.1, статья 7.29.2, статья 7.29.3, статья 7.30. Утратили силу</w:t>
      </w:r>
    </w:p>
    <w:p>
      <w:pPr>
        <w:spacing w:after="120"/>
        <w:ind w:firstLine="709"/>
      </w:pPr>
      <w:r>
        <w:rPr>
          <w:sz w:val="24"/>
        </w:rPr>
        <w:t xml:space="preserve">Статьи 7.29 - 7.30. Утратили силу с 1 марта 2025 года. - Федеральный закон от 28.12.2024 N 500-ФЗ.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7.28</dc:title>
  <dc:creator>АРБИТРАЖ! · arbi.ru</dc:creator>
  <cp:lastModifiedBy>АРБИТРАЖ!</cp:lastModifiedBy>
  <dcterms:created xsi:type="dcterms:W3CDTF">2026-10-22T09:31:36.962Z</dcterms:created>
</cp:coreProperties>
</file>