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26.07.2006 N 133-ФЗ)</w:t>
      </w:r>
    </w:p>
    <w:p>
      <w:pPr>
        <w:spacing w:after="120"/>
        <w:ind w:firstLine="709"/>
      </w:pPr>
      <w:r>
        <w:rPr>
          <w:sz w:val="24"/>
        </w:rPr>
        <w:t xml:space="preserve">Уклонение исполнителя земляных, строительных, мелиоративных, хозяйственных или иных работ либо археологических полевых работ, осуществляемых на основании разрешения (открытого листа), от обязательной передачи государству в соответствии с законодательством Российской Федерации культурных ценностей, обнаруженных в результате проведения таких работ,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7.33</dc:title>
  <dc:creator>АРБИТРАЖ! · arbi.ru</dc:creator>
  <cp:lastModifiedBy>АРБИТРАЖ!</cp:lastModifiedBy>
  <dcterms:created xsi:type="dcterms:W3CDTF">2026-10-23T00:19:55.106Z</dcterms:created>
</cp:coreProperties>
</file>