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несоблюдение экологических требований при осуществлении градостроительной деятельности и эксплуатации предприятий, сооружений или иных объектов</w:t>
      </w:r>
    </w:p>
    <w:p>
      <w:pPr>
        <w:spacing w:after="120"/>
        <w:ind w:firstLine="709"/>
      </w:pPr>
      <w:r>
        <w:rPr>
          <w:sz w:val="24"/>
        </w:rPr>
        <w:t xml:space="preserve">Несоблюдение экологических требований при территориальном планировании, градостроительном зонировании, планировке территории, архитектурно-строительном проектировании, строительстве, капитальном ремонте, реконструкции, вводе в эксплуатацию, эксплуатации, выводе из эксплуатации зданий, строений, сооружений и иных объектов капитального строительства, за исключением случаев, предусмотренных статьей 8.48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27.12.2019 N 504-ФЗ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</dc:title>
  <dc:creator>АРБИТРАЖ! · arbi.ru</dc:creator>
  <cp:lastModifiedBy>АРБИТРАЖ!</cp:lastModifiedBy>
  <dcterms:created xsi:type="dcterms:W3CDTF">2026-10-22T07:49:56.850Z</dcterms:created>
</cp:coreProperties>
</file>