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8.13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нарушение требований к охране водных объектов, которое может повлечь их загрязнение, засорение и (или) истощение</w:t>
      </w:r>
    </w:p>
    <w:p>
      <w:pPr>
        <w:spacing w:after="120"/>
        <w:ind w:firstLine="709"/>
      </w:pPr>
      <w:r>
        <w:rPr>
          <w:sz w:val="24"/>
        </w:rPr>
        <w:t xml:space="preserve">1. Нарушение водоохранного режима на водосборах водных объектов, которое может повлечь загрязнение указанных объектов или другие вредные явления,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двадцати тысяч до тридцати тысяч рублей; на юридических лиц - от восьмидесяти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15.04.2019 N 57-ФЗ , от 15.12.2025 N 473-ФЗ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или несвоевременное выполнение обязанностей по приведению водных объектов, их водоохранных зон и прибрежных защитных полос в состояние, пригодное для пользования,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 или административное приостановление деятельности на срок до девяноста суток; на юридических лиц - от двухсот тысяч до трехсот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Незаконная добыча песка, гравия, глины и иных общераспространенных полезных ископаемых, торфа, сапропеля на водных объектах, осуществление молевого сплава древесины либо нарушение установленного порядка очистки водных объектов от затонувшей древесины и наносов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тридцати тысяч до сорока тысяч рублей; на юридических лиц - от ста тысяч до ста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15.04.2019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Нарушение требований к охране водных объектов, которое может повлечь их загрязнение, засорение и (или) истощение, за исключением случаев, предусмотренных статьей 8.45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пятисот до трех тысяч рублей; на должностных лиц - от пятидесяти тысяч до восьмидесяти тысяч рублей; на юридических лиц - от ста пятидесяти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15.04.2019 N 57-ФЗ , от 15.12.2025 N 473-ФЗ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Загрязнение ледников, снежников или ледяного покрова водных объектов либо загрязнение водных объектов, содержащих природные лечебные ресурсы или отнесенных к особо охраняемым водным объектам, местам туризма, спорта и массового отдыха, отходами производства и потребления и (или) вредными веществами, а равно захоронение вредных веществ (материалов) в водных объектах, за исключением случаев, предусмотренных частями 3.1 - 3.4 статьи 8.2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пятидесяти тысяч до восьмидесяти тысяч рублей; на юридических лиц - от ста пятидесяти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15.04.2019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8.13</dc:title>
  <dc:creator>АРБИТРАЖ! · arbi.ru</dc:creator>
  <cp:lastModifiedBy>АРБИТРАЖ!</cp:lastModifiedBy>
  <dcterms:created xsi:type="dcterms:W3CDTF">2026-10-22T22:44:45.816Z</dcterms:created>
</cp:coreProperties>
</file>