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8.12.1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21.10.2013 N 282-ФЗ)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8.12.1.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несоблюдение условия обеспечения свободного доступа граждан к водному объекту общего пользования и его береговой полосе</w:t>
      </w:r>
    </w:p>
    <w:p>
      <w:pPr>
        <w:spacing w:after="120"/>
        <w:ind w:firstLine="709"/>
      </w:pPr>
      <w:r>
        <w:rPr>
          <w:sz w:val="24"/>
        </w:rPr>
        <w:t xml:space="preserve">Несоблюдение условия обеспечения свободного доступа граждан к водному объекту общего пользования и его береговой полосе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сорока тысяч до пятидесяти тысяч рублей; на лиц, осуществляющих предпринимательскую деятельность без образования юридического лица, - от сорока тысяч до пятидесяти тысяч рублей или административное приостановление деятельности на срок до девяноста суток; на юридических лиц - от двухсот тысяч до трехсот тысяч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8.12.1</dc:title>
  <dc:creator>АРБИТРАЖ! · arbi.ru</dc:creator>
  <cp:lastModifiedBy>АРБИТРАЖ!</cp:lastModifiedBy>
  <dcterms:created xsi:type="dcterms:W3CDTF">2026-10-22T20:14:01.692Z</dcterms:created>
</cp:coreProperties>
</file>