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Незаконная рубка , повреждение лесных насаждений или самовольное выкапывание в лесах деревьев, кустарников, лиан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двадцати тысяч до сорока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применением механизмов, автомототранспортных средств, самоходных машин и других видов техники, либо совершенные в лесопарковом зеленом поясе,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должностных лиц - от сорока тысяч до пятидесяти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таковой; на юридических лиц - от трехсот тысяч до пятисот тысяч рублей с конфискацией продукции незаконного природопользования, а также с конфискацией орудия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02.07.2005 N 82-ФЗ)</w:t>
      </w:r>
    </w:p>
    <w:p>
      <w:pPr>
        <w:spacing w:after="120"/>
        <w:ind w:firstLine="709"/>
      </w:pPr>
      <w:r>
        <w:rPr>
          <w:sz w:val="24"/>
        </w:rPr>
        <w:t xml:space="preserve">3. Приобретение, хранение, перевозка или сбыт заведомо незаконно заготовленной древесины,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должностных лиц - пятидесяти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8.28</dc:title>
  <dc:creator>АРБИТРАЖ! · arbi.ru</dc:creator>
  <cp:lastModifiedBy>АРБИТРАЖ!</cp:lastModifiedBy>
  <dcterms:created xsi:type="dcterms:W3CDTF">2026-10-22T20:05:26.668Z</dcterms:created>
</cp:coreProperties>
</file>