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8.45.1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353-ФЗ)</w:t>
      </w:r>
    </w:p>
    <w:p>
      <w:pPr>
        <w:spacing w:after="120"/>
        <w:ind w:firstLine="709"/>
      </w:pPr>
      <w:r>
        <w:rPr>
          <w:sz w:val="24"/>
        </w:rPr>
        <w:t xml:space="preserve">Нарушение режима осуществления хозяйственной и иной деятельности в лесопарковом зеленом поясе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двадцати тысяч до сорока тысяч рублей; на юридических лиц - от двухсот пятидесяти тысяч до пятисот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8.45.1</dc:title>
  <dc:creator>АРБИТРАЖ! · arbi.ru</dc:creator>
  <cp:lastModifiedBy>АРБИТРАЖ!</cp:lastModifiedBy>
  <dcterms:created xsi:type="dcterms:W3CDTF">2026-10-22T21:10:52.417Z</dcterms:created>
</cp:coreProperties>
</file>