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419-ФЗ)</w:t>
      </w:r>
    </w:p>
    <w:p>
      <w:pPr>
        <w:spacing w:after="120"/>
        <w:ind w:firstLine="709"/>
      </w:pPr>
      <w:r>
        <w:rPr>
          <w:sz w:val="24"/>
        </w:rPr>
        <w:t xml:space="preserve">1. Представление на согласование плана предупреждения и ликвидации разливов нефти и нефтепродуктов, содержащего заведомо недостоверные сведения (информацию), либо неисполнение обязанности утвердить в установленном порядке план предупреждения и ликвидации разливов нефти и нефтепродуктов, либо неосуществление мероприятий, предусмотренных указанным планом, либо неисполнение обязанности создать систему наблюдений за состоянием морской среды в районе осуществления деятельности, в том числе систему обнаружения разливов нефти и нефтепродуктов, или систему связи и оповещения о разливах нефти и нефтепродуктов, соответствующие установленным требованиям, либо неисполнение обязанности подтвердить финансовое обеспечение осуществления мероприятий, предусмотренных планом предупреждения и ликвидации разливов нефти и нефтепродуктов, либо неисполнение обязанности иметь в наличии собственные аварийно-спасательные службы и (или) аварийно-спасательные формирования, силы и средства постоянной готовности, предназначенные для предупреждения и ликвидации разливов нефти и нефтепродуктов, и (или) привлекать на договорной основе указанные аварийно-спасательные службы и (или) указанные аварийно-спасательные формирования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индивидуальных предпринимателей - от тридцати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шестидесяти тысяч рублей; на индивидуальных предпринимателей - от шестидесяти тысяч до восьмидесяти тысяч рублей либо административное приостановление деятельности на срок до девяноста суток; на юридических лиц - от трехсот тысяч до пятисот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Неоповещение уполномоченного органа о факте разлива нефти и нефтепродуктов,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индивидуальных предпринимателей - от пятидесяти тысяч до ста тысяч рублей; на юридических лиц - от ста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ста тысяч до двухсот тысяч рублей либо административное приостановление деятельности на срок до девяноста суток; на юридических лиц - от пятисот тысяч до одного миллиона рублей либо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8.50</dc:title>
  <dc:creator>АРБИТРАЖ! · arbi.ru</dc:creator>
  <cp:lastModifiedBy>АРБИТРАЖ!</cp:lastModifiedBy>
  <dcterms:created xsi:type="dcterms:W3CDTF">2026-10-22T22:45:20.198Z</dcterms:created>
</cp:coreProperties>
</file>