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9.2.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требований к обеспечению безопасности гидротехнических сооружений</w:t>
      </w:r>
    </w:p>
    <w:p>
      <w:pPr>
        <w:spacing w:after="120"/>
        <w:ind w:firstLine="709"/>
      </w:pPr>
      <w:r>
        <w:rPr>
          <w:sz w:val="24"/>
        </w:rPr>
        <w:t xml:space="preserve">Нарушение требований к обеспечению безопасности при проектировании, строительстве, капитальном ремонте, эксплуатации, реконструкции, консервации и ликвидации гидротехнических сооружений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лиц, осуществляющих предпринимательскую деятельность без образования юридического лица, - от двух тысяч до трех тысяч рублей или административное приостановление деятельности на срок до девяноста суток; на юридических лиц - от двадцати тысяч до тридцати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9.2</dc:title>
  <dc:creator>АРБИТРАЖ! · arbi.ru</dc:creator>
  <cp:lastModifiedBy>АРБИТРАЖ!</cp:lastModifiedBy>
  <dcterms:created xsi:type="dcterms:W3CDTF">2026-10-22T22:19:49.608Z</dcterms:created>
</cp:coreProperties>
</file>