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12.11.2018 N 404-ФЗ)</w:t>
      </w:r>
    </w:p>
    <w:p>
      <w:pPr>
        <w:spacing w:after="120"/>
        <w:ind w:firstLine="709"/>
      </w:pPr>
      <w:r>
        <w:rPr>
          <w:sz w:val="24"/>
        </w:rPr>
        <w:t xml:space="preserve">Нарушение органами государственной власти, органами местного самоуправления, организациями, принявшими, утвердившими и выдавшими документы, материалы, которые подлежат размещению или сведения о которых подлежат размещению в соответствии с Градостроительным кодексом Российской Федерации в государственных информационных системах обеспечения градостроительной деятельности, сроков направления соответствующих документов,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округов, органы местного самоуправления муниципальных районов или органы исполнительной власти субъектов Российской Федерации (подведомственные им государственные бюджетные учреждения), применительно к территориям которых принимаются, утверждаются, выдаются указанные документы, материалы,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9.5.2</dc:title>
  <dc:creator>АРБИТРАЖ! · arbi.ru</dc:creator>
  <cp:lastModifiedBy>АРБИТРАЖ!</cp:lastModifiedBy>
  <dcterms:created xsi:type="dcterms:W3CDTF">2026-10-22T11:37:11.960Z</dcterms:created>
</cp:coreProperties>
</file>