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17.07.2009 N 160-ФЗ)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9.15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(субъект оптового или розничного рынка электроэнергии) оспаривает привлечение к ответственности за нарушение стандартов раскрытия информации</w:t>
      </w:r>
    </w:p>
    <w:p>
      <w:pPr>
        <w:spacing w:after="120"/>
        <w:ind w:firstLine="709"/>
      </w:pPr>
      <w:r>
        <w:rPr>
          <w:sz w:val="24"/>
        </w:rPr>
        <w:t xml:space="preserve">Нарушение субъектом оптового рынка электрической энергии и мощности или розничного рынка электрической энергии установленных стандартами раскрытия информации порядка, способов или сроков опубликования информации либо предоставление заведомо ложной информации в печатных изданиях,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власти, в электронных средствах массовой информации, а также нарушение порядка, способов или сроков предоставления информации по письменному запросу заинтересованных лиц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28.12.2017 N 437-ФЗ)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двухсот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9.15</dc:title>
  <dc:creator>АРБИТРАЖ! · arbi.ru</dc:creator>
  <cp:lastModifiedBy>АРБИТРАЖ!</cp:lastModifiedBy>
  <dcterms:created xsi:type="dcterms:W3CDTF">2026-10-22T07:33:15.867Z</dcterms:created>
</cp:coreProperties>
</file>