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26.07.2010 N 189-ФЗ)</w:t>
      </w:r>
    </w:p>
    <w:p>
      <w:pPr>
        <w:spacing w:after="120"/>
        <w:ind w:firstLine="709"/>
      </w:pPr>
      <w:r>
        <w:rPr>
          <w:sz w:val="24"/>
        </w:rPr>
        <w:t xml:space="preserve">Нарушение собственниками или иными законными владельцами объектов по производству электрической энергии и (или) объектов электросетевого хозяйства порядка вывода объектов электроэнергетики в ремонт, повлекшее полное и (или) частичное ограничение режима потребления электрической и (или) тепловой энергии потребителями более чем на три календарных дня,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лет; на юридических лиц - в размере от пятисот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9.18</dc:title>
  <dc:creator>АРБИТРАЖ! · arbi.ru</dc:creator>
  <cp:lastModifiedBy>АРБИТРАЖ!</cp:lastModifiedBy>
  <dcterms:created xsi:type="dcterms:W3CDTF">2026-10-22T21:10:32.830Z</dcterms:created>
</cp:coreProperties>
</file>