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споры в суде общей юрисдикции. Ситуации, связанные со ст. 9.19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эксплуатацию опасного объекта без обязательного страхования гражданской ответственности за причинение вреда в результате аварии на нем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орган власти) оспаривает привлечение к ответственности за эксплуатацию опасного объекта без обязательного страхования гражданской ответственности за причинение вреда в результате аварии на нем</w:t>
      </w:r>
    </w:p>
    <w:p>
      <w:pPr>
        <w:spacing w:after="120"/>
        <w:ind w:firstLine="709"/>
      </w:pPr>
      <w:r>
        <w:rPr>
          <w:sz w:val="24"/>
        </w:rPr>
        <w:t xml:space="preserve">Эксплуатация опасного объекта, за исключением ввода в эксплуатацию опасного объекта,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тысяч рублей,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9.19</dc:title>
  <dc:creator>АРБИТРАЖ! · arbi.ru</dc:creator>
  <cp:lastModifiedBy>АРБИТРАЖ!</cp:lastModifiedBy>
  <dcterms:created xsi:type="dcterms:W3CDTF">2026-10-22T06:42:25.587Z</dcterms:created>
</cp:coreProperties>
</file>