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08.12.2010 N 347-ФЗ)</w:t>
      </w:r>
    </w:p>
    <w:p>
      <w:pPr>
        <w:spacing w:after="120"/>
        <w:ind w:firstLine="709"/>
      </w:pPr>
      <w:r>
        <w:rPr>
          <w:sz w:val="24"/>
        </w:rPr>
        <w:t xml:space="preserve">Использование объектов по хранению химического оружия и объектов по уничтожению химического оружия в целях, не связанных с хранением и уничтожением химического оружия, утилизацией и захоронением отходов, образующихся в процессе уничтожения химического оружия,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четырех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9.20</dc:title>
  <dc:creator>АРБИТРАЖ! · arbi.ru</dc:creator>
  <cp:lastModifiedBy>АРБИТРАЖ!</cp:lastModifiedBy>
  <dcterms:created xsi:type="dcterms:W3CDTF">2026-10-22T21:55:41.089Z</dcterms:created>
</cp:coreProperties>
</file>