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11.4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11.4 КоАП РФ за нарушение правил использования воздушного пространства</w:t>
      </w:r>
    </w:p>
    <w:p>
      <w:pPr>
        <w:spacing w:after="120"/>
        <w:ind w:firstLine="709"/>
      </w:pPr>
      <w:r>
        <w:rPr>
          <w:sz w:val="24"/>
        </w:rPr>
        <w:t xml:space="preserve">1. Нарушение пользователем воздушного пространства федеральных правил использования воздушного пространства,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07.11.2011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пятидесяти тысяч рублей; на должностных лиц - от ста тысяч до ста пятидесяти тысяч рублей; на юридических лиц - от двухсот пятидесяти тысяч до трехсот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использования воздушного пространства лицами, не наделенными в установленном порядке правом на осуществление деятельности по использованию воздушного пространства,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07.11.2011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юридических лиц - от трехсот тысяч до пятисот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11.4</dc:title>
  <dc:creator>АРБИТРАЖ! · arbi.ru</dc:creator>
  <cp:lastModifiedBy>АРБИТРАЖ!</cp:lastModifiedBy>
  <dcterms:created xsi:type="dcterms:W3CDTF">2026-10-22T22:54:22.640Z</dcterms:created>
</cp:coreProperties>
</file>