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24.06.2025 N 170-ФЗ)</w:t>
      </w:r>
    </w:p>
    <w:p>
      <w:pPr>
        <w:spacing w:after="120"/>
        <w:ind w:firstLine="709"/>
      </w:pPr>
      <w:r>
        <w:rPr>
          <w:sz w:val="24"/>
        </w:rPr>
        <w:t xml:space="preserve">1. Неразмещение в соответствии с законодательством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(электронного перевозочного документа)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оператором автоматизированной информационной системы оформления воздушных перевозок требований к автоматизированной информационной системе оформления воздушных перевозок, к базам данных, входящим в ее состав, к информационно-телекоммуникационной сети, обеспечивающей работу указанной автоматизированной информационной системы, к ее оператору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восьмидесяти тысяч рублей; на юридических лиц - от трехсот тысяч до четырехсот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11.5.1</dc:title>
  <dc:creator>АРБИТРАЖ! · arbi.ru</dc:creator>
  <cp:lastModifiedBy>АРБИТРАЖ!</cp:lastModifiedBy>
  <dcterms:created xsi:type="dcterms:W3CDTF">2026-10-23T00:32:09.353Z</dcterms:created>
</cp:coreProperties>
</file>